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EA8" w:rsidRPr="00375EA8" w:rsidRDefault="00375EA8" w:rsidP="00375EA8">
      <w:pPr>
        <w:spacing w:after="0" w:line="360" w:lineRule="auto"/>
        <w:ind w:firstLine="709"/>
        <w:jc w:val="center"/>
        <w:rPr>
          <w:rFonts w:ascii="Times New Roman" w:hAnsi="Times New Roman" w:cs="Times New Roman"/>
          <w:b/>
          <w:sz w:val="24"/>
          <w:szCs w:val="24"/>
        </w:rPr>
      </w:pPr>
      <w:r w:rsidRPr="00375EA8">
        <w:rPr>
          <w:rFonts w:ascii="Times New Roman" w:hAnsi="Times New Roman" w:cs="Times New Roman"/>
          <w:b/>
          <w:sz w:val="24"/>
          <w:szCs w:val="24"/>
        </w:rPr>
        <w:t>ЭНЕРГОЭФФЕКТИВНОСТЬ И ЭНЕРГОСБЕРЕЖЕНИЕ В ОРГАНИЗАЦИИ ОСВЕЩЕНИЯ ГОРОДСКОЙ СРЕДЫ</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С.А. Воробьев</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кандидат сельскохозяйственных наук,</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доцент кафедры проектирования городской среды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А.О. Драчёва</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студент магистратуры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К.Д. Андрейчук</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студент магистратуры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Орловский государственный университет имени И.С. Тургенева, г. Орел</w:t>
      </w:r>
    </w:p>
    <w:p w:rsidR="00375EA8" w:rsidRDefault="00375EA8" w:rsidP="00375EA8">
      <w:pPr>
        <w:spacing w:after="0" w:line="360" w:lineRule="auto"/>
        <w:ind w:firstLine="709"/>
        <w:jc w:val="right"/>
        <w:rPr>
          <w:rFonts w:ascii="Times New Roman" w:hAnsi="Times New Roman" w:cs="Times New Roman"/>
          <w:sz w:val="24"/>
          <w:szCs w:val="24"/>
        </w:rPr>
      </w:pPr>
    </w:p>
    <w:p w:rsidR="00375EA8" w:rsidRPr="00A64345" w:rsidRDefault="00375EA8" w:rsidP="00375EA8">
      <w:pPr>
        <w:spacing w:after="0" w:line="360" w:lineRule="auto"/>
        <w:ind w:firstLine="709"/>
        <w:jc w:val="right"/>
        <w:rPr>
          <w:rFonts w:ascii="Times New Roman" w:hAnsi="Times New Roman" w:cs="Times New Roman"/>
          <w:sz w:val="24"/>
          <w:szCs w:val="24"/>
          <w:lang w:val="en-US"/>
        </w:rPr>
      </w:pPr>
      <w:r>
        <w:rPr>
          <w:rFonts w:ascii="Times New Roman" w:hAnsi="Times New Roman" w:cs="Times New Roman"/>
          <w:sz w:val="24"/>
          <w:szCs w:val="24"/>
        </w:rPr>
        <w:t>тел</w:t>
      </w:r>
      <w:r w:rsidRPr="00A64345">
        <w:rPr>
          <w:rFonts w:ascii="Times New Roman" w:hAnsi="Times New Roman" w:cs="Times New Roman"/>
          <w:sz w:val="24"/>
          <w:szCs w:val="24"/>
          <w:lang w:val="en-US"/>
        </w:rPr>
        <w:t xml:space="preserve">. </w:t>
      </w:r>
      <w:r w:rsidR="00A64345" w:rsidRPr="00A64345">
        <w:rPr>
          <w:rFonts w:ascii="Times New Roman" w:hAnsi="Times New Roman" w:cs="Times New Roman"/>
          <w:sz w:val="24"/>
          <w:szCs w:val="24"/>
          <w:lang w:val="en-US"/>
        </w:rPr>
        <w:t>+</w:t>
      </w:r>
      <w:r w:rsidR="00A64345">
        <w:rPr>
          <w:rFonts w:ascii="Times New Roman" w:hAnsi="Times New Roman" w:cs="Times New Roman"/>
          <w:sz w:val="24"/>
          <w:szCs w:val="24"/>
          <w:lang w:val="en-US"/>
        </w:rPr>
        <w:t>7 (961)-620-47-16</w:t>
      </w:r>
    </w:p>
    <w:p w:rsidR="00375EA8" w:rsidRPr="00375EA8" w:rsidRDefault="00375EA8" w:rsidP="00375EA8">
      <w:pPr>
        <w:spacing w:after="0" w:line="360" w:lineRule="auto"/>
        <w:ind w:firstLine="709"/>
        <w:jc w:val="right"/>
        <w:rPr>
          <w:rFonts w:ascii="Times New Roman" w:hAnsi="Times New Roman" w:cs="Times New Roman"/>
          <w:sz w:val="24"/>
          <w:szCs w:val="24"/>
          <w:lang w:val="de-DE"/>
        </w:rPr>
      </w:pPr>
      <w:r w:rsidRPr="00375EA8">
        <w:rPr>
          <w:rFonts w:ascii="Times New Roman" w:hAnsi="Times New Roman" w:cs="Times New Roman"/>
          <w:sz w:val="24"/>
          <w:szCs w:val="24"/>
          <w:lang w:val="de-DE"/>
        </w:rPr>
        <w:t xml:space="preserve">e-mail: </w:t>
      </w:r>
      <w:r w:rsidR="00A64345">
        <w:rPr>
          <w:rFonts w:ascii="Times New Roman" w:hAnsi="Times New Roman" w:cs="Times New Roman"/>
          <w:sz w:val="24"/>
          <w:szCs w:val="24"/>
          <w:lang w:val="de-DE"/>
        </w:rPr>
        <w:t>k/andreychuk98@mail.ru</w:t>
      </w:r>
    </w:p>
    <w:p w:rsidR="00375EA8" w:rsidRPr="00A76C41" w:rsidRDefault="00A76C41" w:rsidP="00A76C41">
      <w:pPr>
        <w:spacing w:after="0" w:line="360" w:lineRule="auto"/>
        <w:ind w:firstLine="709"/>
        <w:rPr>
          <w:rFonts w:ascii="Times New Roman" w:hAnsi="Times New Roman" w:cs="Times New Roman"/>
          <w:i/>
          <w:sz w:val="24"/>
          <w:szCs w:val="24"/>
        </w:rPr>
      </w:pPr>
      <w:r w:rsidRPr="00A76C41">
        <w:rPr>
          <w:rFonts w:ascii="Times New Roman" w:hAnsi="Times New Roman" w:cs="Times New Roman"/>
          <w:i/>
          <w:sz w:val="24"/>
          <w:szCs w:val="24"/>
        </w:rPr>
        <w:t xml:space="preserve">Рассматриваются ключевые проблемы в модернизации наружного освещения городской среды и методы их решения. </w:t>
      </w:r>
    </w:p>
    <w:p w:rsidR="00A76C41" w:rsidRDefault="00A76C41" w:rsidP="00FA32FB">
      <w:pPr>
        <w:spacing w:after="0" w:line="360" w:lineRule="auto"/>
        <w:ind w:firstLine="709"/>
        <w:jc w:val="both"/>
        <w:rPr>
          <w:rFonts w:ascii="Times New Roman" w:hAnsi="Times New Roman" w:cs="Times New Roman"/>
          <w:i/>
          <w:sz w:val="24"/>
          <w:szCs w:val="24"/>
        </w:rPr>
      </w:pPr>
      <w:r w:rsidRPr="00FA32FB">
        <w:rPr>
          <w:rFonts w:ascii="Times New Roman" w:hAnsi="Times New Roman" w:cs="Times New Roman"/>
          <w:b/>
          <w:i/>
          <w:sz w:val="24"/>
          <w:szCs w:val="24"/>
        </w:rPr>
        <w:t xml:space="preserve">Ключевые слова: </w:t>
      </w:r>
      <w:r w:rsidRPr="00FA32FB">
        <w:rPr>
          <w:rFonts w:ascii="Times New Roman" w:hAnsi="Times New Roman" w:cs="Times New Roman"/>
          <w:i/>
          <w:sz w:val="24"/>
          <w:szCs w:val="24"/>
        </w:rPr>
        <w:t>освещение, энергосбережение, энергоэффективность, городская среда</w:t>
      </w:r>
      <w:r w:rsidR="00FA32FB">
        <w:rPr>
          <w:rFonts w:ascii="Times New Roman" w:hAnsi="Times New Roman" w:cs="Times New Roman"/>
          <w:i/>
          <w:sz w:val="24"/>
          <w:szCs w:val="24"/>
        </w:rPr>
        <w:t>.</w:t>
      </w:r>
    </w:p>
    <w:p w:rsidR="00FA32FB" w:rsidRPr="00FA32FB" w:rsidRDefault="00FA32FB" w:rsidP="00FA32FB">
      <w:pPr>
        <w:spacing w:after="0" w:line="360" w:lineRule="auto"/>
        <w:ind w:firstLine="709"/>
        <w:jc w:val="both"/>
        <w:rPr>
          <w:rFonts w:ascii="Times New Roman" w:hAnsi="Times New Roman" w:cs="Times New Roman"/>
          <w:i/>
          <w:sz w:val="24"/>
          <w:szCs w:val="24"/>
        </w:rPr>
      </w:pPr>
    </w:p>
    <w:p w:rsidR="00D2145A"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Абсолютно во всех программах ставятся задачи снижения энергопотребления и достижения существенных</w:t>
      </w:r>
      <w:r w:rsidR="00335063">
        <w:rPr>
          <w:rFonts w:ascii="Times New Roman" w:hAnsi="Times New Roman" w:cs="Times New Roman"/>
          <w:sz w:val="24"/>
          <w:szCs w:val="24"/>
        </w:rPr>
        <w:t xml:space="preserve"> показателей экономии (50-60%).</w:t>
      </w:r>
      <w:r w:rsidRPr="00A03500">
        <w:rPr>
          <w:rFonts w:ascii="Times New Roman" w:hAnsi="Times New Roman" w:cs="Times New Roman"/>
          <w:sz w:val="24"/>
          <w:szCs w:val="24"/>
        </w:rPr>
        <w:t xml:space="preserve"> Что касается уличного наружного освещения, то данная сфера является серьезной статьей расходов любого муниципального образования. Следует отметить, что во многих муниципальных образованиях Российской Федерации имеет место сильный физический износ уличного и дорожного осветительного оборудования. </w:t>
      </w:r>
    </w:p>
    <w:p w:rsidR="005B69CF"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 xml:space="preserve">Освещенность дорог ниже нормы в 2-3 раза, светильники имеют устаревшую конструкцию, в светильниках используются низкоэффективные лампы накаливания (светоотдача 12 лм/Вт) и ртутные лампы (светоотдача 55 лм/Вт). Доля старого оборудования, включая не только светильники, но и опоры, кабели, в России составляет более 60%. Схемы электроснабжения не обеспечивают необходимый уровень надежности установок наружного освещения. </w:t>
      </w:r>
      <w:r w:rsidR="00FA32FB" w:rsidRPr="00A03500">
        <w:rPr>
          <w:rFonts w:ascii="Times New Roman" w:hAnsi="Times New Roman" w:cs="Times New Roman"/>
          <w:sz w:val="24"/>
          <w:szCs w:val="24"/>
        </w:rPr>
        <w:t>Д</w:t>
      </w:r>
      <w:r w:rsidRPr="00A03500">
        <w:rPr>
          <w:rFonts w:ascii="Times New Roman" w:hAnsi="Times New Roman" w:cs="Times New Roman"/>
          <w:sz w:val="24"/>
          <w:szCs w:val="24"/>
        </w:rPr>
        <w:t xml:space="preserve">оля расходов на оплату электроэнергии составляет более 40% от общих затрат на эксплуатацию систем. При том, что в нашей стране потенциал экономии электроэнергии в рассматриваемой сфере благоустройства муниципального образования составляет более 50%. Столь значительный масштаб </w:t>
      </w:r>
      <w:r w:rsidRPr="00A03500">
        <w:rPr>
          <w:rFonts w:ascii="Times New Roman" w:hAnsi="Times New Roman" w:cs="Times New Roman"/>
          <w:sz w:val="24"/>
          <w:szCs w:val="24"/>
        </w:rPr>
        <w:lastRenderedPageBreak/>
        <w:t>заставляет всерьез задуматься о массовом внедрении современных энергосберегающих и энергоэффективных систем в наружном освещении. В связи с этим в многочисленных региональных и муниципальных программах в области модернизации наружного освещения предусматриваются различные мероприятии в области энергосбережения в сетях наружного освещения муниципальных образований. Планы и программы включают различные мероприятия, начиная от замены ртутьсодержащих светильников и ламп накаливания на энергосберегающие с натриевыми или светодиодными лампами, заканчивая внедрением автом</w:t>
      </w:r>
      <w:r w:rsidR="00A03500" w:rsidRPr="00A03500">
        <w:rPr>
          <w:rFonts w:ascii="Times New Roman" w:hAnsi="Times New Roman" w:cs="Times New Roman"/>
          <w:sz w:val="24"/>
          <w:szCs w:val="24"/>
        </w:rPr>
        <w:t xml:space="preserve">атизированных систем управления </w:t>
      </w:r>
      <w:r w:rsidRPr="00A03500">
        <w:rPr>
          <w:rFonts w:ascii="Times New Roman" w:hAnsi="Times New Roman" w:cs="Times New Roman"/>
          <w:sz w:val="24"/>
          <w:szCs w:val="24"/>
        </w:rPr>
        <w:t xml:space="preserve">наружным освещением. </w:t>
      </w:r>
    </w:p>
    <w:p w:rsidR="00A03500"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Однако энергосберегающие технологии стоят не малых финансовых средств и что бы повысить энергосбережение в области наружного освещения до желаемого уровня, нужно решить проблему отсутствия финансирования. Кроме того, модернизация зачастую связана еще и со сложностями эксплуатации более энергоэффективных</w:t>
      </w:r>
      <w:r w:rsidR="00335063">
        <w:rPr>
          <w:rFonts w:ascii="Times New Roman" w:hAnsi="Times New Roman" w:cs="Times New Roman"/>
          <w:sz w:val="24"/>
          <w:szCs w:val="24"/>
        </w:rPr>
        <w:t xml:space="preserve"> систем наружного освещения.</w:t>
      </w:r>
    </w:p>
    <w:p w:rsidR="00335063" w:rsidRDefault="00A03500"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 xml:space="preserve">По статистике, 20% общего расхода электроэнергии  приходится на освещение. При учете факта непрерывного роста цен на электроэнергию, развитие инновационных технологий для увеличения энергоэффективности уличного освещения становится все более актуальной.  Можно выделить несколько главных проблем в уличном освещении крупных городов: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Малоэффективные источники света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Непродуктивное размещение осветительных приборов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Световое загрязнение  </w:t>
      </w:r>
    </w:p>
    <w:p w:rsidR="00A03500" w:rsidRPr="00A03500" w:rsidRDefault="00A03500"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К решению данных проблем необходим системный подход, заключающийся в проработке технических и экономических вопросов внедрения новых высокоэффективных источников света, полного и гибкого управления системами освещения.  Главной проблемой является модернизация систем освещения. Наиболее энергоэффективным решением является внедрение светодиодных источников света</w:t>
      </w:r>
      <w:r w:rsidR="00335063">
        <w:rPr>
          <w:rFonts w:ascii="Times New Roman" w:hAnsi="Times New Roman" w:cs="Times New Roman"/>
          <w:sz w:val="24"/>
          <w:szCs w:val="24"/>
        </w:rPr>
        <w:t xml:space="preserve">, </w:t>
      </w:r>
      <w:r w:rsidR="00335063" w:rsidRPr="00A03500">
        <w:rPr>
          <w:rFonts w:ascii="Times New Roman" w:hAnsi="Times New Roman" w:cs="Times New Roman"/>
          <w:sz w:val="24"/>
          <w:szCs w:val="24"/>
        </w:rPr>
        <w:t>использование светильников с электронным пускорегулирующим аппаратом, улучшение автоматизированной системы управления наружным освещением, замена счетчиков электроэнергии на двухтарифные, замена устаревших ламп в светильниках уличного освещен</w:t>
      </w:r>
      <w:r w:rsidR="00335063">
        <w:rPr>
          <w:rFonts w:ascii="Times New Roman" w:hAnsi="Times New Roman" w:cs="Times New Roman"/>
          <w:sz w:val="24"/>
          <w:szCs w:val="24"/>
        </w:rPr>
        <w:t>ия в рамках текущего содержания</w:t>
      </w:r>
      <w:r w:rsidRPr="00A03500">
        <w:rPr>
          <w:rFonts w:ascii="Times New Roman" w:hAnsi="Times New Roman" w:cs="Times New Roman"/>
          <w:sz w:val="24"/>
          <w:szCs w:val="24"/>
        </w:rPr>
        <w:t xml:space="preserve">. Решение данной проблемы тормозится стоимостью светодиодных источников, автоматизированных систем, отсутствием методологии и технических решений высокой построения гибких адаптивных систем автоматизированного управления сложными гибридными комплексами наружного освещения.  Большая роль в освещении отводится на оптимальное размещение уличных светильников. Поддержка необходимого уровня освещённости всей улицы способствует: </w:t>
      </w:r>
    </w:p>
    <w:p w:rsidR="00A03500"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lastRenderedPageBreak/>
        <w:t>улучшение управления ночным освещением города и ночным движением транс</w:t>
      </w:r>
      <w:r w:rsidR="00A64345">
        <w:rPr>
          <w:rFonts w:ascii="Times New Roman" w:hAnsi="Times New Roman" w:cs="Times New Roman"/>
          <w:sz w:val="24"/>
          <w:szCs w:val="24"/>
        </w:rPr>
        <w:t>порта;</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повышение безопасности пешеходов на улицах</w:t>
      </w:r>
      <w:r w:rsidR="00A64345" w:rsidRPr="00A64345">
        <w:rPr>
          <w:rFonts w:ascii="Times New Roman" w:hAnsi="Times New Roman" w:cs="Times New Roman"/>
          <w:sz w:val="24"/>
          <w:szCs w:val="24"/>
        </w:rPr>
        <w:t>;</w:t>
      </w:r>
      <w:r w:rsidRPr="00A64345">
        <w:rPr>
          <w:rFonts w:ascii="Times New Roman" w:hAnsi="Times New Roman" w:cs="Times New Roman"/>
          <w:sz w:val="24"/>
          <w:szCs w:val="24"/>
        </w:rPr>
        <w:t xml:space="preserve"> </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снижение преступности и стр</w:t>
      </w:r>
      <w:r w:rsidR="00A64345" w:rsidRPr="00A64345">
        <w:rPr>
          <w:rFonts w:ascii="Times New Roman" w:hAnsi="Times New Roman" w:cs="Times New Roman"/>
          <w:sz w:val="24"/>
          <w:szCs w:val="24"/>
        </w:rPr>
        <w:t>аха преступности в ночное время;</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w:t>
      </w:r>
      <w:r w:rsidR="00A64345" w:rsidRPr="00A64345">
        <w:rPr>
          <w:rFonts w:ascii="Times New Roman" w:hAnsi="Times New Roman" w:cs="Times New Roman"/>
          <w:sz w:val="24"/>
          <w:szCs w:val="24"/>
        </w:rPr>
        <w:t>ышение привлекательности города;</w:t>
      </w:r>
    </w:p>
    <w:p w:rsidR="00A03500"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повышение престижа города</w:t>
      </w:r>
      <w:r w:rsidR="00A64345" w:rsidRPr="00A64345">
        <w:rPr>
          <w:rFonts w:ascii="Times New Roman" w:hAnsi="Times New Roman" w:cs="Times New Roman"/>
          <w:sz w:val="24"/>
          <w:szCs w:val="24"/>
        </w:rPr>
        <w:t>.</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Экономия электроэнергии может быть достигнута совершенствованием следующих средств освещения:</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расширением производства эффективных источников света и области их применения возможно получить экономию электроэнергии минимум;</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увеличением световой отдачи источников света;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повышением стабильности характеристик источников света;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повышением КПД осветительных приборов;</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улучшением эксплуатационных свойс</w:t>
      </w:r>
      <w:r w:rsidR="00A64345" w:rsidRPr="00A64345">
        <w:rPr>
          <w:rFonts w:ascii="Times New Roman" w:eastAsia="Times New Roman" w:hAnsi="Times New Roman" w:cs="Times New Roman"/>
          <w:sz w:val="24"/>
          <w:szCs w:val="24"/>
          <w:lang w:eastAsia="ru-RU"/>
        </w:rPr>
        <w:t>тв осветительных приборов</w:t>
      </w:r>
      <w:r w:rsidRPr="00A64345">
        <w:rPr>
          <w:rFonts w:ascii="Times New Roman" w:eastAsia="Times New Roman" w:hAnsi="Times New Roman" w:cs="Times New Roman"/>
          <w:sz w:val="24"/>
          <w:szCs w:val="24"/>
          <w:lang w:eastAsia="ru-RU"/>
        </w:rPr>
        <w:t>;</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снижением энергопотребления осветительных приборов, в частности благодаря использованию электронной пускорегулирующей арматуры (ЭПРА).</w:t>
      </w:r>
    </w:p>
    <w:p w:rsidR="00FA32FB" w:rsidRPr="00FA32FB" w:rsidRDefault="00FA32FB" w:rsidP="00A64345">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Во всем мире, в частности, в странах, которые входят в Международное энергетическое агентство (МЭА), к основным энергосберегающим действиям в области освещения можно отнести:</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использование компактных люминесцентных ламп (КЛЛ);</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установка электронных пускорегулирующих устройств (ЭПРА);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применение прямых тонких люминесцентных ламп типа Т5 (16 мм);</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широкое использование систем автоматического регулирования освещения в зависимости от внешних факторов;</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использование комбинированных осветительных приборов, использующих для питания солнечную энергию.</w:t>
      </w:r>
    </w:p>
    <w:p w:rsidR="00FA32FB" w:rsidRPr="00FA32FB" w:rsidRDefault="00FA32FB" w:rsidP="00A64345">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Поставки энергоэффективного светотехнического оборудования в настоящее время в России малы. Хотя все это оборудование, в принципе, в наличии имеется, наиболее эффективное оборудование российского производства практически отсутствует, а объем внешних поставок этого оборудования окажется недостаточным в случае существенного увеличения потребности в нем.</w:t>
      </w:r>
    </w:p>
    <w:p w:rsidR="00FA32FB" w:rsidRPr="00FA32FB" w:rsidRDefault="00FA32FB" w:rsidP="00A64345">
      <w:pPr>
        <w:shd w:val="clear" w:color="auto" w:fill="FFFFFF"/>
        <w:spacing w:after="0" w:line="360" w:lineRule="auto"/>
        <w:ind w:firstLine="567"/>
        <w:rPr>
          <w:rFonts w:ascii="Times New Roman" w:eastAsia="Times New Roman" w:hAnsi="Times New Roman" w:cs="Times New Roman"/>
          <w:sz w:val="24"/>
          <w:szCs w:val="24"/>
          <w:lang w:eastAsia="ru-RU"/>
        </w:rPr>
      </w:pP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В данный момент, общий объем светотехнического рынка, включая импортные товары, составляет примерно 2 млрд долл. США в год и, скорее всего, будет продолжать расти.</w:t>
      </w: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lastRenderedPageBreak/>
        <w:t>Отечественная продукция удовлетворяет примерно 50% общей потребности в светотехнических изделиях (источниках света, светильниках, источниках питания, комплектующих и т.д.). Большую часть российской продукции составляют неэффективные устаревшие изделия, такие как лампы накаливания, люминесцентные лампы первого и второго поколений (Т12, Т8), электромагнитные ПРА и т.д.</w:t>
      </w: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Качество и эффективность многих импортных изделий также не соответствуют лучшим международным стандартам. Высококачественное оборудование для систем освещения слишком дорого для российского рынка и конкретно для конечных потребителей.</w:t>
      </w:r>
    </w:p>
    <w:p w:rsidR="00A03500"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Отсутствие технического контроля и контроля качества импортных товаров привело к наплыву на российский рынок светотехнических изделий сомнительного качества, поступающих как на легальный рынок, так и на обширный черный рынок. Однако на рынке светотехнической продукции наблюдаются некоторые позитивные изменения. Например, на российском рынке, все шире представлены мировые лидеры в области разработки и производства электрических ламп (Осрам, Филипс, Дженерал электрик и некоторые другие).</w:t>
      </w:r>
    </w:p>
    <w:p w:rsidR="00FA32FB" w:rsidRPr="00FA32FB" w:rsidRDefault="00FA32FB" w:rsidP="00CE4CF5">
      <w:pPr>
        <w:shd w:val="clear" w:color="auto" w:fill="FFFFFF"/>
        <w:spacing w:after="0" w:line="360" w:lineRule="auto"/>
        <w:rPr>
          <w:rFonts w:ascii="Times New Roman" w:eastAsia="Times New Roman" w:hAnsi="Times New Roman" w:cs="Times New Roman"/>
          <w:sz w:val="24"/>
          <w:szCs w:val="24"/>
          <w:lang w:eastAsia="ru-RU"/>
        </w:rPr>
      </w:pPr>
    </w:p>
    <w:p w:rsidR="005B69CF" w:rsidRPr="00CE4CF5" w:rsidRDefault="005B69CF" w:rsidP="00A03500">
      <w:pPr>
        <w:spacing w:after="0" w:line="360" w:lineRule="auto"/>
        <w:ind w:firstLine="709"/>
        <w:jc w:val="center"/>
        <w:rPr>
          <w:rFonts w:ascii="Times New Roman" w:hAnsi="Times New Roman" w:cs="Times New Roman"/>
          <w:b/>
          <w:i/>
          <w:sz w:val="24"/>
          <w:szCs w:val="24"/>
        </w:rPr>
      </w:pPr>
      <w:r w:rsidRPr="00CE4CF5">
        <w:rPr>
          <w:rFonts w:ascii="Times New Roman" w:hAnsi="Times New Roman" w:cs="Times New Roman"/>
          <w:b/>
          <w:i/>
          <w:sz w:val="24"/>
          <w:szCs w:val="24"/>
        </w:rPr>
        <w:t>Литература</w:t>
      </w:r>
    </w:p>
    <w:p w:rsidR="005B69CF" w:rsidRPr="00A03500" w:rsidRDefault="005B69CF" w:rsidP="00A03500">
      <w:pPr>
        <w:spacing w:after="0" w:line="360" w:lineRule="auto"/>
        <w:ind w:firstLine="709"/>
        <w:rPr>
          <w:rFonts w:ascii="Times New Roman" w:hAnsi="Times New Roman" w:cs="Times New Roman"/>
          <w:sz w:val="24"/>
          <w:szCs w:val="24"/>
        </w:rPr>
      </w:pPr>
      <w:r w:rsidRPr="00A03500">
        <w:rPr>
          <w:rFonts w:ascii="Times New Roman" w:hAnsi="Times New Roman" w:cs="Times New Roman"/>
          <w:noProof/>
          <w:sz w:val="24"/>
          <w:szCs w:val="24"/>
        </w:rPr>
        <w:t>1. Об эн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госбер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ежен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и о повышен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эн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гетической эффективн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ости и о вн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измен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ий в отдельн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ые закон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одательн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ые акты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оссийской Федер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ации [Электр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есур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с]: Федер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закон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 от 23.11.2009. №261-ФЗ. – URL: </w:t>
      </w:r>
      <w:hyperlink r:id="rId5" w:history="1">
        <w:r w:rsidRPr="00A03500">
          <w:rPr>
            <w:rStyle w:val="a3"/>
            <w:rFonts w:ascii="Times New Roman" w:hAnsi="Times New Roman" w:cs="Times New Roman"/>
            <w:sz w:val="24"/>
            <w:szCs w:val="24"/>
          </w:rPr>
          <w:t>http://www.rg.ru/2009/11/27/energo-dok.html</w:t>
        </w:r>
      </w:hyperlink>
      <w:r w:rsidRPr="00A03500">
        <w:rPr>
          <w:rFonts w:ascii="Times New Roman" w:hAnsi="Times New Roman" w:cs="Times New Roman"/>
          <w:sz w:val="24"/>
          <w:szCs w:val="24"/>
        </w:rPr>
        <w:t xml:space="preserve">. </w:t>
      </w:r>
    </w:p>
    <w:p w:rsidR="00FA32FB" w:rsidRPr="00A03500" w:rsidRDefault="005B69CF" w:rsidP="00FA32FB">
      <w:pPr>
        <w:spacing w:after="0" w:line="360" w:lineRule="auto"/>
        <w:ind w:firstLine="709"/>
        <w:rPr>
          <w:rFonts w:ascii="Times New Roman" w:hAnsi="Times New Roman" w:cs="Times New Roman"/>
          <w:sz w:val="24"/>
          <w:szCs w:val="24"/>
        </w:rPr>
      </w:pPr>
      <w:r w:rsidRPr="00A03500">
        <w:rPr>
          <w:rFonts w:ascii="Times New Roman" w:hAnsi="Times New Roman" w:cs="Times New Roman"/>
          <w:noProof/>
          <w:sz w:val="24"/>
          <w:szCs w:val="24"/>
        </w:rPr>
        <w:t>2. Об освещен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улиц гор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ода (Пр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огр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амма «Свет») [Электр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есур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с]: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ешен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ие </w:t>
      </w:r>
      <w:r w:rsidRPr="00A03500">
        <w:rPr>
          <w:rFonts w:ascii="Times New Roman" w:hAnsi="Times New Roman" w:cs="Times New Roman"/>
          <w:sz w:val="24"/>
          <w:szCs w:val="24"/>
        </w:rPr>
        <w:t>Орловской</w:t>
      </w:r>
      <w:r w:rsidRPr="00A03500">
        <w:rPr>
          <w:rFonts w:ascii="Times New Roman" w:hAnsi="Times New Roman" w:cs="Times New Roman"/>
          <w:noProof/>
          <w:sz w:val="24"/>
          <w:szCs w:val="24"/>
        </w:rPr>
        <w:t xml:space="preserve"> гор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одской Думы от 08.06.2008 г. № 4-9// </w:t>
      </w:r>
      <w:r w:rsidRPr="00A03500">
        <w:rPr>
          <w:rFonts w:ascii="Times New Roman" w:hAnsi="Times New Roman" w:cs="Times New Roman"/>
          <w:sz w:val="24"/>
          <w:szCs w:val="24"/>
        </w:rPr>
        <w:t>Информационноправовой</w:t>
      </w:r>
      <w:r w:rsidRPr="00A03500">
        <w:rPr>
          <w:rFonts w:ascii="Times New Roman" w:hAnsi="Times New Roman" w:cs="Times New Roman"/>
          <w:noProof/>
          <w:sz w:val="24"/>
          <w:szCs w:val="24"/>
        </w:rPr>
        <w:t xml:space="preserve"> пор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тал «Гар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т». – URL: </w:t>
      </w:r>
      <w:hyperlink r:id="rId6" w:history="1">
        <w:r w:rsidRPr="00A03500">
          <w:rPr>
            <w:rStyle w:val="a3"/>
            <w:rFonts w:ascii="Times New Roman" w:hAnsi="Times New Roman" w:cs="Times New Roman"/>
            <w:sz w:val="24"/>
            <w:szCs w:val="24"/>
          </w:rPr>
          <w:t>http://www.garant.ru</w:t>
        </w:r>
      </w:hyperlink>
      <w:r w:rsidRPr="00A03500">
        <w:rPr>
          <w:rFonts w:ascii="Times New Roman" w:hAnsi="Times New Roman" w:cs="Times New Roman"/>
          <w:sz w:val="24"/>
          <w:szCs w:val="24"/>
        </w:rPr>
        <w:t xml:space="preserve">. </w:t>
      </w:r>
    </w:p>
    <w:p w:rsidR="005B69CF" w:rsidRDefault="00FA32FB" w:rsidP="00A03500">
      <w:pPr>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w:t>3</w:t>
      </w:r>
      <w:r w:rsidR="005B69CF" w:rsidRPr="00A03500">
        <w:rPr>
          <w:rFonts w:ascii="Times New Roman" w:hAnsi="Times New Roman" w:cs="Times New Roman"/>
          <w:noProof/>
          <w:sz w:val="24"/>
          <w:szCs w:val="24"/>
        </w:rPr>
        <w:t>. Митр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охин</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 xml:space="preserve"> В.В. 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азвитие 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ын</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 xml:space="preserve">ка </w:t>
      </w:r>
      <w:r w:rsidR="005B69CF" w:rsidRPr="00A03500">
        <w:rPr>
          <w:rFonts w:ascii="Times New Roman" w:hAnsi="Times New Roman" w:cs="Times New Roman"/>
          <w:sz w:val="24"/>
          <w:szCs w:val="24"/>
        </w:rPr>
        <w:t>энергосервисных компаний в России/ В.В. Митрохин, О.В. Ульянкин// Современные проблемы науки и образования. – 2013. – №4.</w:t>
      </w:r>
    </w:p>
    <w:p w:rsidR="00A76C41" w:rsidRDefault="00A76C41" w:rsidP="00A03500">
      <w:pPr>
        <w:spacing w:after="0" w:line="360" w:lineRule="auto"/>
        <w:ind w:firstLine="709"/>
        <w:rPr>
          <w:rFonts w:ascii="Times New Roman" w:hAnsi="Times New Roman" w:cs="Times New Roman"/>
          <w:sz w:val="24"/>
          <w:szCs w:val="24"/>
        </w:rPr>
      </w:pPr>
    </w:p>
    <w:p w:rsidR="00A76C41" w:rsidRDefault="00A76C41" w:rsidP="00A03500">
      <w:pPr>
        <w:spacing w:after="0" w:line="360" w:lineRule="auto"/>
        <w:ind w:firstLine="709"/>
        <w:rPr>
          <w:rFonts w:ascii="Times New Roman" w:hAnsi="Times New Roman" w:cs="Times New Roman"/>
          <w:sz w:val="24"/>
          <w:szCs w:val="24"/>
        </w:rPr>
      </w:pPr>
    </w:p>
    <w:p w:rsidR="00A76C41" w:rsidRPr="00A64345" w:rsidRDefault="00A76C41" w:rsidP="00A76C41">
      <w:pPr>
        <w:spacing w:after="0" w:line="360" w:lineRule="auto"/>
        <w:ind w:firstLine="709"/>
        <w:jc w:val="center"/>
        <w:rPr>
          <w:rFonts w:ascii="Times New Roman" w:hAnsi="Times New Roman" w:cs="Times New Roman"/>
          <w:sz w:val="24"/>
          <w:szCs w:val="24"/>
          <w:lang w:val="en-US"/>
        </w:rPr>
      </w:pPr>
      <w:r w:rsidRPr="00A76C41">
        <w:rPr>
          <w:rFonts w:ascii="Times New Roman" w:hAnsi="Times New Roman" w:cs="Times New Roman"/>
          <w:sz w:val="24"/>
          <w:szCs w:val="24"/>
          <w:lang w:val="en-US"/>
        </w:rPr>
        <w:t>ENERGY EFFICIENCY AND ENERGY SAVING IN THE ORGANIZATION OF URBAN LIGHTING</w:t>
      </w:r>
    </w:p>
    <w:p w:rsidR="00A76C41" w:rsidRPr="00A64345" w:rsidRDefault="00A76C41" w:rsidP="00A76C41">
      <w:pPr>
        <w:spacing w:after="0" w:line="360" w:lineRule="auto"/>
        <w:ind w:firstLine="709"/>
        <w:jc w:val="center"/>
        <w:rPr>
          <w:rFonts w:ascii="Times New Roman" w:hAnsi="Times New Roman" w:cs="Times New Roman"/>
          <w:sz w:val="24"/>
          <w:szCs w:val="24"/>
          <w:lang w:val="en-US"/>
        </w:rPr>
      </w:pPr>
      <w:r w:rsidRPr="00A76C41">
        <w:rPr>
          <w:rFonts w:ascii="Times New Roman" w:hAnsi="Times New Roman" w:cs="Times New Roman"/>
          <w:sz w:val="24"/>
          <w:szCs w:val="24"/>
          <w:lang w:val="en-US"/>
        </w:rPr>
        <w:t>S. A. V</w:t>
      </w:r>
      <w:r>
        <w:rPr>
          <w:rFonts w:ascii="Times New Roman" w:hAnsi="Times New Roman" w:cs="Times New Roman"/>
          <w:sz w:val="24"/>
          <w:szCs w:val="24"/>
          <w:lang w:val="en-US"/>
        </w:rPr>
        <w:t>OROBYOV, A. O. DRACHEVA</w:t>
      </w:r>
      <w:r w:rsidRPr="00A76C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76C41">
        <w:rPr>
          <w:rFonts w:ascii="Times New Roman" w:hAnsi="Times New Roman" w:cs="Times New Roman"/>
          <w:sz w:val="24"/>
          <w:szCs w:val="24"/>
          <w:lang w:val="en-US"/>
        </w:rPr>
        <w:t>K. D. A</w:t>
      </w:r>
      <w:r>
        <w:rPr>
          <w:rFonts w:ascii="Times New Roman" w:hAnsi="Times New Roman" w:cs="Times New Roman"/>
          <w:sz w:val="24"/>
          <w:szCs w:val="24"/>
          <w:lang w:val="en-US"/>
        </w:rPr>
        <w:t>NDREYCHUK</w:t>
      </w:r>
    </w:p>
    <w:p w:rsidR="00A76C41" w:rsidRPr="00A76C41" w:rsidRDefault="00A76C41" w:rsidP="00A76C41">
      <w:pPr>
        <w:spacing w:after="0" w:line="360" w:lineRule="auto"/>
        <w:ind w:firstLine="709"/>
        <w:rPr>
          <w:rFonts w:ascii="Times New Roman" w:hAnsi="Times New Roman" w:cs="Times New Roman"/>
          <w:sz w:val="24"/>
          <w:szCs w:val="24"/>
          <w:lang w:val="en-US"/>
        </w:rPr>
      </w:pPr>
      <w:r w:rsidRPr="00A76C41">
        <w:rPr>
          <w:rFonts w:ascii="Times New Roman" w:hAnsi="Times New Roman" w:cs="Times New Roman"/>
          <w:sz w:val="24"/>
          <w:szCs w:val="24"/>
          <w:lang w:val="en-US"/>
        </w:rPr>
        <w:t>Key problems in the modernization of outdoor lighting in the urban environment and methods of their solution are considered.</w:t>
      </w:r>
    </w:p>
    <w:p w:rsidR="00A76C41" w:rsidRPr="00A76C41" w:rsidRDefault="00A76C41" w:rsidP="00A76C41">
      <w:pPr>
        <w:spacing w:after="0" w:line="360" w:lineRule="auto"/>
        <w:ind w:firstLine="709"/>
        <w:rPr>
          <w:rFonts w:ascii="Times New Roman" w:hAnsi="Times New Roman" w:cs="Times New Roman"/>
          <w:sz w:val="24"/>
          <w:szCs w:val="24"/>
          <w:lang w:val="en-US"/>
        </w:rPr>
      </w:pPr>
      <w:r w:rsidRPr="00A76C41">
        <w:rPr>
          <w:rFonts w:ascii="Times New Roman" w:hAnsi="Times New Roman" w:cs="Times New Roman"/>
          <w:b/>
          <w:sz w:val="24"/>
          <w:szCs w:val="24"/>
          <w:lang w:val="en-US"/>
        </w:rPr>
        <w:t>Keywords</w:t>
      </w:r>
      <w:r w:rsidRPr="00A76C41">
        <w:rPr>
          <w:rFonts w:ascii="Times New Roman" w:hAnsi="Times New Roman" w:cs="Times New Roman"/>
          <w:sz w:val="24"/>
          <w:szCs w:val="24"/>
          <w:lang w:val="en-US"/>
        </w:rPr>
        <w:t>: lighting, energy saving, energy efficiency, urban environment</w:t>
      </w:r>
    </w:p>
    <w:sectPr w:rsidR="00A76C41" w:rsidRPr="00A7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3EE5"/>
    <w:multiLevelType w:val="multilevel"/>
    <w:tmpl w:val="44B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0195"/>
    <w:multiLevelType w:val="hybridMultilevel"/>
    <w:tmpl w:val="A07A178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EE26E83"/>
    <w:multiLevelType w:val="hybridMultilevel"/>
    <w:tmpl w:val="3002419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1F100EC"/>
    <w:multiLevelType w:val="hybridMultilevel"/>
    <w:tmpl w:val="32FA186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15:restartNumberingAfterBreak="0">
    <w:nsid w:val="45D116FF"/>
    <w:multiLevelType w:val="hybridMultilevel"/>
    <w:tmpl w:val="08DC655C"/>
    <w:lvl w:ilvl="0" w:tplc="04190001">
      <w:start w:val="1"/>
      <w:numFmt w:val="bullet"/>
      <w:lvlText w:val=""/>
      <w:lvlJc w:val="left"/>
      <w:pPr>
        <w:ind w:left="1571" w:hanging="360"/>
      </w:pPr>
      <w:rPr>
        <w:rFonts w:ascii="Symbol" w:hAnsi="Symbol" w:hint="default"/>
      </w:rPr>
    </w:lvl>
    <w:lvl w:ilvl="1" w:tplc="0A48DABC">
      <w:numFmt w:val="bullet"/>
      <w:lvlText w:val="•"/>
      <w:lvlJc w:val="left"/>
      <w:pPr>
        <w:ind w:left="2456" w:hanging="52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0D83053"/>
    <w:multiLevelType w:val="multilevel"/>
    <w:tmpl w:val="1CE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A2EEC"/>
    <w:multiLevelType w:val="multilevel"/>
    <w:tmpl w:val="854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73B4A"/>
    <w:multiLevelType w:val="hybridMultilevel"/>
    <w:tmpl w:val="382C59B8"/>
    <w:lvl w:ilvl="0" w:tplc="75B63E38">
      <w:numFmt w:val="bullet"/>
      <w:lvlText w:val="•"/>
      <w:lvlJc w:val="left"/>
      <w:pPr>
        <w:ind w:left="1421" w:hanging="57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71FD411D"/>
    <w:multiLevelType w:val="multilevel"/>
    <w:tmpl w:val="4C6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09C"/>
    <w:rsid w:val="002A56E1"/>
    <w:rsid w:val="00335063"/>
    <w:rsid w:val="00375EA8"/>
    <w:rsid w:val="00450A78"/>
    <w:rsid w:val="005B69CF"/>
    <w:rsid w:val="0081709C"/>
    <w:rsid w:val="00A03500"/>
    <w:rsid w:val="00A64345"/>
    <w:rsid w:val="00A76C41"/>
    <w:rsid w:val="00C670D9"/>
    <w:rsid w:val="00CE4CF5"/>
    <w:rsid w:val="00D2145A"/>
    <w:rsid w:val="00E15961"/>
    <w:rsid w:val="00FA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4B23-B09D-4BB0-8823-C268B9C3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9CF"/>
    <w:rPr>
      <w:color w:val="0563C1" w:themeColor="hyperlink"/>
      <w:u w:val="single"/>
    </w:rPr>
  </w:style>
  <w:style w:type="paragraph" w:styleId="a4">
    <w:name w:val="List Paragraph"/>
    <w:basedOn w:val="a"/>
    <w:uiPriority w:val="34"/>
    <w:qFormat/>
    <w:rsid w:val="00A6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2198">
      <w:bodyDiv w:val="1"/>
      <w:marLeft w:val="0"/>
      <w:marRight w:val="0"/>
      <w:marTop w:val="0"/>
      <w:marBottom w:val="0"/>
      <w:divBdr>
        <w:top w:val="none" w:sz="0" w:space="0" w:color="auto"/>
        <w:left w:val="none" w:sz="0" w:space="0" w:color="auto"/>
        <w:bottom w:val="none" w:sz="0" w:space="0" w:color="auto"/>
        <w:right w:val="none" w:sz="0" w:space="0" w:color="auto"/>
      </w:divBdr>
    </w:div>
    <w:div w:id="11369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garant.ru" TargetMode="External" /><Relationship Id="rId5" Type="http://schemas.openxmlformats.org/officeDocument/2006/relationships/hyperlink" Target="http://www.rg.ru/2009/11/27/energo-dok.html"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 Андрейчук</cp:lastModifiedBy>
  <cp:revision>2</cp:revision>
  <dcterms:created xsi:type="dcterms:W3CDTF">2020-06-10T16:04:00Z</dcterms:created>
  <dcterms:modified xsi:type="dcterms:W3CDTF">2020-06-10T16:04:00Z</dcterms:modified>
</cp:coreProperties>
</file>